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86F7A" w14:textId="1AAFB3F8" w:rsidR="00196990" w:rsidRDefault="00196990" w:rsidP="00196990">
      <w:pPr>
        <w:rPr>
          <w:b/>
          <w:bCs/>
        </w:rPr>
      </w:pPr>
      <w:r>
        <w:rPr>
          <w:b/>
          <w:bCs/>
        </w:rPr>
        <w:t xml:space="preserve">EPA’s Best </w:t>
      </w:r>
      <w:r w:rsidR="00DF0233">
        <w:rPr>
          <w:b/>
          <w:bCs/>
        </w:rPr>
        <w:t xml:space="preserve">Hurricane </w:t>
      </w:r>
      <w:r>
        <w:rPr>
          <w:b/>
          <w:bCs/>
        </w:rPr>
        <w:t>Resources for Water Sector:</w:t>
      </w:r>
    </w:p>
    <w:p w14:paraId="6197EC83" w14:textId="77777777" w:rsidR="00E6286F" w:rsidRDefault="00E6286F" w:rsidP="00196990"/>
    <w:p w14:paraId="372AF2B0" w14:textId="67C55033" w:rsidR="0026519E" w:rsidRPr="0026519E" w:rsidRDefault="0026519E" w:rsidP="00DF0233">
      <w:pPr>
        <w:pStyle w:val="ListParagraph"/>
        <w:numPr>
          <w:ilvl w:val="0"/>
          <w:numId w:val="1"/>
        </w:numPr>
        <w:rPr>
          <w:b/>
          <w:bCs/>
        </w:rPr>
      </w:pPr>
      <w:r>
        <w:rPr>
          <w:rFonts w:eastAsia="Times New Roman"/>
        </w:rPr>
        <w:t xml:space="preserve">Have an </w:t>
      </w:r>
      <w:hyperlink r:id="rId7" w:history="1">
        <w:r w:rsidRPr="0026519E">
          <w:rPr>
            <w:rStyle w:val="Hyperlink"/>
            <w:rFonts w:eastAsia="Times New Roman"/>
          </w:rPr>
          <w:t>Emergency Response Plan (ERP)</w:t>
        </w:r>
      </w:hyperlink>
      <w:r>
        <w:rPr>
          <w:rFonts w:eastAsia="Times New Roman"/>
        </w:rPr>
        <w:t xml:space="preserve"> that includes preparing and responding to hurricanes.  Get more information on ERPs, AWIA requirements for drinking water utilities</w:t>
      </w:r>
      <w:r w:rsidR="00B6198B">
        <w:rPr>
          <w:rFonts w:eastAsia="Times New Roman"/>
        </w:rPr>
        <w:t>,</w:t>
      </w:r>
      <w:r>
        <w:rPr>
          <w:rFonts w:eastAsia="Times New Roman"/>
        </w:rPr>
        <w:t xml:space="preserve"> and a template to help prepare one.  </w:t>
      </w:r>
    </w:p>
    <w:p w14:paraId="2F245E3C" w14:textId="5024BD63" w:rsidR="0026519E" w:rsidRPr="0026519E" w:rsidRDefault="00A616E8" w:rsidP="00DF0233">
      <w:pPr>
        <w:pStyle w:val="ListParagraph"/>
        <w:numPr>
          <w:ilvl w:val="0"/>
          <w:numId w:val="1"/>
        </w:numPr>
        <w:rPr>
          <w:b/>
          <w:bCs/>
        </w:rPr>
      </w:pPr>
      <w:hyperlink r:id="rId8" w:history="1">
        <w:r w:rsidR="0026519E" w:rsidRPr="0026519E">
          <w:rPr>
            <w:rStyle w:val="Hyperlink"/>
            <w:rFonts w:eastAsia="Times New Roman"/>
          </w:rPr>
          <w:t>EPA’s Hurricane Incident Action Checklist</w:t>
        </w:r>
      </w:hyperlink>
      <w:r w:rsidR="0026519E">
        <w:rPr>
          <w:rFonts w:eastAsia="Times New Roman"/>
        </w:rPr>
        <w:t xml:space="preserve">: rip and tear guide to customize for your own local information and keep handy in your Emergency Response Plans. The checklist includes tips to prepare for, respond to and recover from a hurricane. </w:t>
      </w:r>
    </w:p>
    <w:p w14:paraId="47E65049" w14:textId="77777777" w:rsidR="00E6286F" w:rsidRPr="00E6286F" w:rsidRDefault="00A616E8" w:rsidP="00E6286F">
      <w:pPr>
        <w:pStyle w:val="ListParagraph"/>
        <w:numPr>
          <w:ilvl w:val="0"/>
          <w:numId w:val="1"/>
        </w:numPr>
        <w:shd w:val="clear" w:color="auto" w:fill="FFFFFF"/>
        <w:spacing w:after="100" w:afterAutospacing="1"/>
        <w:rPr>
          <w:color w:val="1B1B1B"/>
        </w:rPr>
      </w:pPr>
      <w:hyperlink r:id="rId9" w:history="1">
        <w:r w:rsidR="00E6286F" w:rsidRPr="00B6198B">
          <w:rPr>
            <w:rStyle w:val="Hyperlink"/>
          </w:rPr>
          <w:t>EPA’s Power Resilience Guide:</w:t>
        </w:r>
        <w:r w:rsidR="00E6286F" w:rsidRPr="00B6198B">
          <w:rPr>
            <w:rStyle w:val="Hyperlink"/>
            <w:b/>
            <w:bCs/>
            <w:u w:val="none"/>
          </w:rPr>
          <w:t xml:space="preserve"> </w:t>
        </w:r>
      </w:hyperlink>
      <w:r w:rsidR="00E6286F" w:rsidRPr="00E6286F">
        <w:rPr>
          <w:b/>
          <w:bCs/>
          <w:color w:val="1B1B1B"/>
        </w:rPr>
        <w:t> </w:t>
      </w:r>
      <w:r w:rsidR="00E6286F" w:rsidRPr="00E6286F">
        <w:rPr>
          <w:color w:val="1B1B1B"/>
        </w:rPr>
        <w:t xml:space="preserve">provides water and wastewater utilities with information and strategies for strengthening relationships with their electric providers and increasing their resilience to power outages.  The guide includes 2019 updates on: 5 new case studies (Amateur Radio Emergency Service, on-site power, microgrids and long-term generator use), expanded information on generator rating and regulations, additional information on generator servicing requirements, tips on fuel supply planning, Black Sky Planning, new Appendix A: Existing Generator Information Sheet and new Appendix B: Generator Request Information Form.  </w:t>
      </w:r>
    </w:p>
    <w:p w14:paraId="2745BE63" w14:textId="4A673C98" w:rsidR="00A93F0F" w:rsidRPr="00FA2F7B" w:rsidRDefault="00A93F0F" w:rsidP="00DF0233">
      <w:pPr>
        <w:pStyle w:val="ListParagraph"/>
        <w:numPr>
          <w:ilvl w:val="0"/>
          <w:numId w:val="1"/>
        </w:numPr>
        <w:rPr>
          <w:b/>
          <w:bCs/>
        </w:rPr>
      </w:pPr>
      <w:r>
        <w:t xml:space="preserve">Use </w:t>
      </w:r>
      <w:hyperlink r:id="rId10" w:history="1">
        <w:r w:rsidRPr="00A93F0F">
          <w:rPr>
            <w:rStyle w:val="Hyperlink"/>
          </w:rPr>
          <w:t>EPA’s Water Response on the Go</w:t>
        </w:r>
      </w:hyperlink>
      <w:r>
        <w:t>, a mobile App to track the weather, manage your ERP tasks, contact others for assistance, and record any damage</w:t>
      </w:r>
      <w:r w:rsidR="00707570">
        <w:t>s to facilitate any possible FEMA reimbursement funding</w:t>
      </w:r>
      <w:r>
        <w:t xml:space="preserve">. </w:t>
      </w:r>
    </w:p>
    <w:p w14:paraId="47EA59EC" w14:textId="017F3286" w:rsidR="00707570" w:rsidRPr="0026519E" w:rsidRDefault="00707570" w:rsidP="00DF0233">
      <w:pPr>
        <w:pStyle w:val="ListParagraph"/>
        <w:numPr>
          <w:ilvl w:val="0"/>
          <w:numId w:val="1"/>
        </w:numPr>
        <w:rPr>
          <w:b/>
          <w:bCs/>
        </w:rPr>
      </w:pPr>
      <w:r>
        <w:t xml:space="preserve">Don’t forget to prepare for your communications with your customers during an extreme weather event, use </w:t>
      </w:r>
      <w:hyperlink r:id="rId11" w:history="1">
        <w:r w:rsidRPr="00707570">
          <w:rPr>
            <w:rStyle w:val="Hyperlink"/>
          </w:rPr>
          <w:t>EPA’s communications tools</w:t>
        </w:r>
      </w:hyperlink>
      <w:r>
        <w:t xml:space="preserve"> to anticipate any questions and help draft potential responses for a hurricane event.  </w:t>
      </w:r>
      <w:r w:rsidR="00E5725C">
        <w:t xml:space="preserve">Also work with your State Primacy Agency to have boil order templates and other messages ready to go in advance. </w:t>
      </w:r>
      <w:r>
        <w:t xml:space="preserve">  </w:t>
      </w:r>
    </w:p>
    <w:p w14:paraId="67B59D53" w14:textId="37C90E00" w:rsidR="00196990" w:rsidRDefault="0026519E" w:rsidP="0026519E">
      <w:pPr>
        <w:pStyle w:val="ListParagraph"/>
        <w:ind w:left="1080"/>
        <w:rPr>
          <w:b/>
          <w:bCs/>
        </w:rPr>
      </w:pPr>
      <w:r>
        <w:rPr>
          <w:rFonts w:eastAsia="Times New Roman"/>
        </w:rPr>
        <w:t xml:space="preserve"> </w:t>
      </w:r>
    </w:p>
    <w:p w14:paraId="3D6161D4" w14:textId="79D5FD6E" w:rsidR="00196990" w:rsidRPr="00E6286F" w:rsidRDefault="00E6286F" w:rsidP="00196990">
      <w:pPr>
        <w:pStyle w:val="ListParagraph"/>
        <w:numPr>
          <w:ilvl w:val="0"/>
          <w:numId w:val="18"/>
        </w:numPr>
        <w:rPr>
          <w:rFonts w:eastAsia="Times New Roman"/>
        </w:rPr>
      </w:pPr>
      <w:r>
        <w:rPr>
          <w:b/>
          <w:bCs/>
        </w:rPr>
        <w:t>Water and Wastewater Agency Response Networks (WARNS)</w:t>
      </w:r>
      <w:r>
        <w:rPr>
          <w:rFonts w:eastAsia="Times New Roman"/>
        </w:rPr>
        <w:t xml:space="preserve">: Find your state’s WARN in EPA’s </w:t>
      </w:r>
      <w:r w:rsidRPr="00E6286F">
        <w:rPr>
          <w:rFonts w:eastAsia="Times New Roman"/>
          <w:i/>
          <w:iCs/>
        </w:rPr>
        <w:t>Water Response on the Go</w:t>
      </w:r>
      <w:r>
        <w:rPr>
          <w:rFonts w:eastAsia="Times New Roman"/>
        </w:rPr>
        <w:t xml:space="preserve"> app (see above) or the </w:t>
      </w:r>
      <w:hyperlink r:id="rId12" w:history="1">
        <w:r>
          <w:rPr>
            <w:rStyle w:val="Hyperlink"/>
            <w:rFonts w:eastAsia="Times New Roman"/>
          </w:rPr>
          <w:t>EPA’s WARN website</w:t>
        </w:r>
      </w:hyperlink>
      <w:r>
        <w:rPr>
          <w:rFonts w:eastAsia="Times New Roman"/>
        </w:rPr>
        <w:t xml:space="preserve">  Make sure your utility is a member and knows how to use the WARN if resources are needed. </w:t>
      </w:r>
    </w:p>
    <w:p w14:paraId="083D6306" w14:textId="77777777" w:rsidR="00E6286F" w:rsidRPr="00E6286F" w:rsidRDefault="00E6286F" w:rsidP="00196990">
      <w:pPr>
        <w:rPr>
          <w:b/>
          <w:bCs/>
        </w:rPr>
      </w:pPr>
    </w:p>
    <w:p w14:paraId="3453D521" w14:textId="04BAE74B" w:rsidR="00196990" w:rsidRPr="00E6286F" w:rsidRDefault="00E6286F" w:rsidP="00E6286F">
      <w:pPr>
        <w:pStyle w:val="ListParagraph"/>
        <w:numPr>
          <w:ilvl w:val="0"/>
          <w:numId w:val="7"/>
        </w:numPr>
        <w:ind w:left="1080"/>
        <w:rPr>
          <w:rFonts w:asciiTheme="minorHAnsi" w:hAnsiTheme="minorHAnsi" w:cstheme="minorHAnsi"/>
        </w:rPr>
      </w:pPr>
      <w:r>
        <w:t xml:space="preserve">Connecticut: </w:t>
      </w:r>
      <w:hyperlink r:id="rId13" w:history="1">
        <w:r w:rsidRPr="00E6286F">
          <w:rPr>
            <w:rStyle w:val="Hyperlink"/>
            <w:rFonts w:asciiTheme="minorHAnsi" w:hAnsiTheme="minorHAnsi" w:cstheme="minorHAnsi"/>
            <w:color w:val="005EA2"/>
            <w:shd w:val="clear" w:color="auto" w:fill="FFFFFF"/>
          </w:rPr>
          <w:t>www.ctawwa.org/CtWARN</w:t>
        </w:r>
      </w:hyperlink>
    </w:p>
    <w:p w14:paraId="59878BF2" w14:textId="19A4478B" w:rsidR="00E6286F" w:rsidRDefault="00E6286F" w:rsidP="00E6286F">
      <w:pPr>
        <w:pStyle w:val="ListParagraph"/>
        <w:numPr>
          <w:ilvl w:val="0"/>
          <w:numId w:val="7"/>
        </w:numPr>
        <w:ind w:left="1080"/>
      </w:pPr>
      <w:r>
        <w:t xml:space="preserve">Maine: </w:t>
      </w:r>
      <w:hyperlink r:id="rId14" w:history="1">
        <w:r w:rsidRPr="00E6286F">
          <w:rPr>
            <w:rStyle w:val="Hyperlink"/>
            <w:rFonts w:asciiTheme="minorHAnsi" w:hAnsiTheme="minorHAnsi" w:cs="Helvetica"/>
            <w:color w:val="005EA2"/>
            <w:shd w:val="clear" w:color="auto" w:fill="FFFFFF"/>
          </w:rPr>
          <w:t>https://www.maine.gov/dhhs/mecdc/environmental-health/dwp/pws/meWARN.shtml</w:t>
        </w:r>
      </w:hyperlink>
    </w:p>
    <w:p w14:paraId="347ED734" w14:textId="58E5D419" w:rsidR="00E6286F" w:rsidRPr="00E6286F" w:rsidRDefault="00E6286F" w:rsidP="00E6286F">
      <w:pPr>
        <w:pStyle w:val="ListParagraph"/>
        <w:numPr>
          <w:ilvl w:val="0"/>
          <w:numId w:val="7"/>
        </w:numPr>
        <w:ind w:left="1080"/>
        <w:rPr>
          <w:rFonts w:asciiTheme="minorHAnsi" w:hAnsiTheme="minorHAnsi"/>
        </w:rPr>
      </w:pPr>
      <w:r>
        <w:t xml:space="preserve">Massachusetts: </w:t>
      </w:r>
      <w:hyperlink r:id="rId15" w:history="1">
        <w:r w:rsidRPr="00E6286F">
          <w:rPr>
            <w:rStyle w:val="Hyperlink"/>
            <w:rFonts w:asciiTheme="minorHAnsi" w:hAnsiTheme="minorHAnsi" w:cs="Helvetica"/>
            <w:color w:val="005EA2"/>
            <w:shd w:val="clear" w:color="auto" w:fill="FFFFFF"/>
          </w:rPr>
          <w:t>www.mawarn.org</w:t>
        </w:r>
      </w:hyperlink>
    </w:p>
    <w:p w14:paraId="42D20091" w14:textId="67835828" w:rsidR="00E6286F" w:rsidRDefault="00E6286F" w:rsidP="00E6286F">
      <w:pPr>
        <w:pStyle w:val="ListParagraph"/>
        <w:numPr>
          <w:ilvl w:val="0"/>
          <w:numId w:val="7"/>
        </w:numPr>
        <w:ind w:left="1080"/>
      </w:pPr>
      <w:r>
        <w:t xml:space="preserve">New Hampshire: </w:t>
      </w:r>
      <w:hyperlink r:id="rId16" w:history="1">
        <w:r w:rsidRPr="00E6286F">
          <w:rPr>
            <w:rStyle w:val="Hyperlink"/>
            <w:rFonts w:asciiTheme="minorHAnsi" w:hAnsiTheme="minorHAnsi" w:cs="Helvetica"/>
            <w:color w:val="005EA2"/>
            <w:shd w:val="clear" w:color="auto" w:fill="FFFFFF"/>
          </w:rPr>
          <w:t>http://www.t2.unh.edu/ma</w:t>
        </w:r>
        <w:r>
          <w:rPr>
            <w:rStyle w:val="Hyperlink"/>
            <w:rFonts w:ascii="Helvetica" w:hAnsi="Helvetica" w:cs="Helvetica"/>
            <w:color w:val="005EA2"/>
            <w:sz w:val="25"/>
            <w:szCs w:val="25"/>
            <w:shd w:val="clear" w:color="auto" w:fill="FFFFFF"/>
          </w:rPr>
          <w:t>/</w:t>
        </w:r>
      </w:hyperlink>
    </w:p>
    <w:p w14:paraId="227F32E5" w14:textId="6EA8D781" w:rsidR="00E6286F" w:rsidRDefault="00E6286F" w:rsidP="00E6286F">
      <w:pPr>
        <w:pStyle w:val="ListParagraph"/>
        <w:numPr>
          <w:ilvl w:val="0"/>
          <w:numId w:val="7"/>
        </w:numPr>
        <w:ind w:left="1080"/>
      </w:pPr>
      <w:r>
        <w:t xml:space="preserve">Rhode Island: </w:t>
      </w:r>
      <w:hyperlink r:id="rId17" w:history="1">
        <w:r w:rsidRPr="00E6286F">
          <w:rPr>
            <w:rStyle w:val="Hyperlink"/>
            <w:rFonts w:asciiTheme="minorHAnsi" w:hAnsiTheme="minorHAnsi" w:cs="Helvetica"/>
            <w:color w:val="005EA2"/>
            <w:shd w:val="clear" w:color="auto" w:fill="FFFFFF"/>
          </w:rPr>
          <w:t>www.riwarn.org</w:t>
        </w:r>
      </w:hyperlink>
    </w:p>
    <w:p w14:paraId="7077BC8A" w14:textId="31A49E83" w:rsidR="0026519E" w:rsidRPr="00E6286F" w:rsidRDefault="00E6286F" w:rsidP="00E6286F">
      <w:pPr>
        <w:pStyle w:val="ListParagraph"/>
        <w:numPr>
          <w:ilvl w:val="0"/>
          <w:numId w:val="7"/>
        </w:numPr>
        <w:ind w:left="1080"/>
        <w:rPr>
          <w:b/>
          <w:bCs/>
        </w:rPr>
      </w:pPr>
      <w:r>
        <w:t>Vermont:</w:t>
      </w:r>
      <w:r w:rsidRPr="00E6286F">
        <w:rPr>
          <w:rFonts w:asciiTheme="minorHAnsi" w:hAnsiTheme="minorHAnsi"/>
        </w:rPr>
        <w:t xml:space="preserve"> </w:t>
      </w:r>
      <w:hyperlink r:id="rId18" w:history="1">
        <w:r w:rsidRPr="00E6286F">
          <w:rPr>
            <w:rStyle w:val="Hyperlink"/>
            <w:rFonts w:asciiTheme="minorHAnsi" w:hAnsiTheme="minorHAnsi" w:cs="Helvetica"/>
            <w:color w:val="005EA2"/>
            <w:shd w:val="clear" w:color="auto" w:fill="FFFFFF"/>
          </w:rPr>
          <w:t>https://dec.vermont.gov/vtwarn</w:t>
        </w:r>
      </w:hyperlink>
    </w:p>
    <w:p w14:paraId="6E37C424" w14:textId="77777777" w:rsidR="0026519E" w:rsidRDefault="0026519E" w:rsidP="00196990">
      <w:pPr>
        <w:rPr>
          <w:b/>
          <w:bCs/>
        </w:rPr>
      </w:pPr>
    </w:p>
    <w:sectPr w:rsidR="0026519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F0F8A" w14:textId="77777777" w:rsidR="00A616E8" w:rsidRDefault="00A616E8" w:rsidP="00B6198B">
      <w:r>
        <w:separator/>
      </w:r>
    </w:p>
  </w:endnote>
  <w:endnote w:type="continuationSeparator" w:id="0">
    <w:p w14:paraId="5DD3AD8C" w14:textId="77777777" w:rsidR="00A616E8" w:rsidRDefault="00A616E8" w:rsidP="00B6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C1E2" w14:textId="77777777" w:rsidR="00560F54" w:rsidRDefault="00560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0346" w14:textId="0807CB86" w:rsidR="00B6198B" w:rsidRDefault="00B6198B">
    <w:pPr>
      <w:pStyle w:val="Footer"/>
    </w:pPr>
    <w:r>
      <w:t>EPA R1 Hurricane Resources Sheet</w:t>
    </w:r>
    <w:r>
      <w:tab/>
    </w:r>
    <w:r>
      <w:tab/>
    </w:r>
    <w:r w:rsidR="00560F54">
      <w:t xml:space="preserve">version: </w:t>
    </w:r>
    <w:r>
      <w:t>August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0F25" w14:textId="77777777" w:rsidR="00560F54" w:rsidRDefault="00560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1351E" w14:textId="77777777" w:rsidR="00A616E8" w:rsidRDefault="00A616E8" w:rsidP="00B6198B">
      <w:r>
        <w:separator/>
      </w:r>
    </w:p>
  </w:footnote>
  <w:footnote w:type="continuationSeparator" w:id="0">
    <w:p w14:paraId="487DC7DF" w14:textId="77777777" w:rsidR="00A616E8" w:rsidRDefault="00A616E8" w:rsidP="00B6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2797" w14:textId="77777777" w:rsidR="00560F54" w:rsidRDefault="00560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48FF" w14:textId="77777777" w:rsidR="00560F54" w:rsidRDefault="00560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3169" w14:textId="77777777" w:rsidR="00560F54" w:rsidRDefault="00560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38E"/>
    <w:multiLevelType w:val="hybridMultilevel"/>
    <w:tmpl w:val="E2A0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73978"/>
    <w:multiLevelType w:val="hybridMultilevel"/>
    <w:tmpl w:val="D43E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D5886"/>
    <w:multiLevelType w:val="hybridMultilevel"/>
    <w:tmpl w:val="A87045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622530B"/>
    <w:multiLevelType w:val="hybridMultilevel"/>
    <w:tmpl w:val="1B201F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D3A6FDF"/>
    <w:multiLevelType w:val="hybridMultilevel"/>
    <w:tmpl w:val="232E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434B6"/>
    <w:multiLevelType w:val="hybridMultilevel"/>
    <w:tmpl w:val="00A2B268"/>
    <w:lvl w:ilvl="0" w:tplc="381C00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43053AB"/>
    <w:multiLevelType w:val="hybridMultilevel"/>
    <w:tmpl w:val="401E4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B5A8A"/>
    <w:multiLevelType w:val="hybridMultilevel"/>
    <w:tmpl w:val="5166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855F1"/>
    <w:multiLevelType w:val="hybridMultilevel"/>
    <w:tmpl w:val="8C30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4F0468"/>
    <w:multiLevelType w:val="hybridMultilevel"/>
    <w:tmpl w:val="884E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83A88"/>
    <w:multiLevelType w:val="hybridMultilevel"/>
    <w:tmpl w:val="8120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33546F"/>
    <w:multiLevelType w:val="hybridMultilevel"/>
    <w:tmpl w:val="E8D8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9471B7"/>
    <w:multiLevelType w:val="hybridMultilevel"/>
    <w:tmpl w:val="A5AC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5E401B"/>
    <w:multiLevelType w:val="hybridMultilevel"/>
    <w:tmpl w:val="FB5E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A18C9"/>
    <w:multiLevelType w:val="hybridMultilevel"/>
    <w:tmpl w:val="FA4E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10"/>
  </w:num>
  <w:num w:numId="7">
    <w:abstractNumId w:val="12"/>
  </w:num>
  <w:num w:numId="8">
    <w:abstractNumId w:val="7"/>
  </w:num>
  <w:num w:numId="9">
    <w:abstractNumId w:val="14"/>
  </w:num>
  <w:num w:numId="10">
    <w:abstractNumId w:val="9"/>
  </w:num>
  <w:num w:numId="11">
    <w:abstractNumId w:val="11"/>
  </w:num>
  <w:num w:numId="12">
    <w:abstractNumId w:val="13"/>
  </w:num>
  <w:num w:numId="13">
    <w:abstractNumId w:val="8"/>
  </w:num>
  <w:num w:numId="14">
    <w:abstractNumId w:val="6"/>
  </w:num>
  <w:num w:numId="15">
    <w:abstractNumId w:val="0"/>
  </w:num>
  <w:num w:numId="16">
    <w:abstractNumId w:val="1"/>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90"/>
    <w:rsid w:val="000D46B2"/>
    <w:rsid w:val="00196990"/>
    <w:rsid w:val="0026519E"/>
    <w:rsid w:val="005118EC"/>
    <w:rsid w:val="00560F54"/>
    <w:rsid w:val="005F2939"/>
    <w:rsid w:val="00707570"/>
    <w:rsid w:val="00731825"/>
    <w:rsid w:val="00807D94"/>
    <w:rsid w:val="0093584D"/>
    <w:rsid w:val="00A616E8"/>
    <w:rsid w:val="00A93F0F"/>
    <w:rsid w:val="00B6198B"/>
    <w:rsid w:val="00C318AC"/>
    <w:rsid w:val="00CD1460"/>
    <w:rsid w:val="00D762D9"/>
    <w:rsid w:val="00DF0233"/>
    <w:rsid w:val="00E5725C"/>
    <w:rsid w:val="00E6286F"/>
    <w:rsid w:val="00FA2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937B"/>
  <w15:chartTrackingRefBased/>
  <w15:docId w15:val="{64F7054D-1450-4E28-96AB-71AD37D4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99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990"/>
    <w:rPr>
      <w:color w:val="0563C1"/>
      <w:u w:val="single"/>
    </w:rPr>
  </w:style>
  <w:style w:type="paragraph" w:styleId="ListParagraph">
    <w:name w:val="List Paragraph"/>
    <w:basedOn w:val="Normal"/>
    <w:uiPriority w:val="34"/>
    <w:qFormat/>
    <w:rsid w:val="00196990"/>
    <w:pPr>
      <w:ind w:left="720"/>
    </w:pPr>
  </w:style>
  <w:style w:type="character" w:styleId="UnresolvedMention">
    <w:name w:val="Unresolved Mention"/>
    <w:basedOn w:val="DefaultParagraphFont"/>
    <w:uiPriority w:val="99"/>
    <w:semiHidden/>
    <w:unhideWhenUsed/>
    <w:rsid w:val="0026519E"/>
    <w:rPr>
      <w:color w:val="605E5C"/>
      <w:shd w:val="clear" w:color="auto" w:fill="E1DFDD"/>
    </w:rPr>
  </w:style>
  <w:style w:type="character" w:styleId="FollowedHyperlink">
    <w:name w:val="FollowedHyperlink"/>
    <w:basedOn w:val="DefaultParagraphFont"/>
    <w:uiPriority w:val="99"/>
    <w:semiHidden/>
    <w:unhideWhenUsed/>
    <w:rsid w:val="00E6286F"/>
    <w:rPr>
      <w:color w:val="954F72" w:themeColor="followedHyperlink"/>
      <w:u w:val="single"/>
    </w:rPr>
  </w:style>
  <w:style w:type="paragraph" w:styleId="Header">
    <w:name w:val="header"/>
    <w:basedOn w:val="Normal"/>
    <w:link w:val="HeaderChar"/>
    <w:uiPriority w:val="99"/>
    <w:unhideWhenUsed/>
    <w:rsid w:val="00B6198B"/>
    <w:pPr>
      <w:tabs>
        <w:tab w:val="center" w:pos="4680"/>
        <w:tab w:val="right" w:pos="9360"/>
      </w:tabs>
    </w:pPr>
  </w:style>
  <w:style w:type="character" w:customStyle="1" w:styleId="HeaderChar">
    <w:name w:val="Header Char"/>
    <w:basedOn w:val="DefaultParagraphFont"/>
    <w:link w:val="Header"/>
    <w:uiPriority w:val="99"/>
    <w:rsid w:val="00B6198B"/>
    <w:rPr>
      <w:rFonts w:ascii="Calibri" w:hAnsi="Calibri" w:cs="Calibri"/>
    </w:rPr>
  </w:style>
  <w:style w:type="paragraph" w:styleId="Footer">
    <w:name w:val="footer"/>
    <w:basedOn w:val="Normal"/>
    <w:link w:val="FooterChar"/>
    <w:uiPriority w:val="99"/>
    <w:unhideWhenUsed/>
    <w:rsid w:val="00B6198B"/>
    <w:pPr>
      <w:tabs>
        <w:tab w:val="center" w:pos="4680"/>
        <w:tab w:val="right" w:pos="9360"/>
      </w:tabs>
    </w:pPr>
  </w:style>
  <w:style w:type="character" w:customStyle="1" w:styleId="FooterChar">
    <w:name w:val="Footer Char"/>
    <w:basedOn w:val="DefaultParagraphFont"/>
    <w:link w:val="Footer"/>
    <w:uiPriority w:val="99"/>
    <w:rsid w:val="00B6198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146319">
      <w:bodyDiv w:val="1"/>
      <w:marLeft w:val="0"/>
      <w:marRight w:val="0"/>
      <w:marTop w:val="0"/>
      <w:marBottom w:val="0"/>
      <w:divBdr>
        <w:top w:val="none" w:sz="0" w:space="0" w:color="auto"/>
        <w:left w:val="none" w:sz="0" w:space="0" w:color="auto"/>
        <w:bottom w:val="none" w:sz="0" w:space="0" w:color="auto"/>
        <w:right w:val="none" w:sz="0" w:space="0" w:color="auto"/>
      </w:divBdr>
    </w:div>
    <w:div w:id="1323000949">
      <w:bodyDiv w:val="1"/>
      <w:marLeft w:val="0"/>
      <w:marRight w:val="0"/>
      <w:marTop w:val="0"/>
      <w:marBottom w:val="0"/>
      <w:divBdr>
        <w:top w:val="none" w:sz="0" w:space="0" w:color="auto"/>
        <w:left w:val="none" w:sz="0" w:space="0" w:color="auto"/>
        <w:bottom w:val="none" w:sz="0" w:space="0" w:color="auto"/>
        <w:right w:val="none" w:sz="0" w:space="0" w:color="auto"/>
      </w:divBdr>
    </w:div>
    <w:div w:id="194708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eader" Target="header3.xm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Gilleland, Lynn</dc:creator>
  <cp:keywords/>
  <dc:description/>
  <cp:lastModifiedBy>Romana Longo</cp:lastModifiedBy>
  <cp:revision>2</cp:revision>
  <dcterms:created xsi:type="dcterms:W3CDTF">2021-08-22T15:08:00Z</dcterms:created>
  <dcterms:modified xsi:type="dcterms:W3CDTF">2021-08-22T15:08:00Z</dcterms:modified>
</cp:coreProperties>
</file>